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B7" w:rsidRDefault="00472BB7" w:rsidP="00472BB7"/>
    <w:p w:rsidR="00472BB7" w:rsidRDefault="00472BB7" w:rsidP="00472BB7">
      <w:pPr>
        <w:spacing w:after="0" w:line="240" w:lineRule="auto"/>
        <w:rPr>
          <w:lang w:val="en-GB"/>
        </w:rPr>
      </w:pPr>
      <w:r>
        <w:rPr>
          <w:lang w:val="en-GB"/>
        </w:rPr>
        <w:t>T</w:t>
      </w:r>
      <w:r w:rsidRPr="000C4CA0">
        <w:rPr>
          <w:lang w:val="en-GB"/>
        </w:rPr>
        <w:t xml:space="preserve">he transition to a CE is highly influenced by the composition and innovation intensity of the economy, </w:t>
      </w:r>
      <w:r>
        <w:rPr>
          <w:lang w:val="en-GB"/>
        </w:rPr>
        <w:t xml:space="preserve">by </w:t>
      </w:r>
      <w:r w:rsidRPr="000C4CA0">
        <w:rPr>
          <w:lang w:val="en-GB"/>
        </w:rPr>
        <w:t>the evolution of new green markets, and by the environmental and industrial policy settings.</w:t>
      </w:r>
    </w:p>
    <w:p w:rsidR="00472BB7" w:rsidRDefault="00472BB7" w:rsidP="00472BB7">
      <w:pPr>
        <w:spacing w:after="0" w:line="240" w:lineRule="auto"/>
        <w:rPr>
          <w:lang w:val="en-GB"/>
        </w:rPr>
      </w:pPr>
      <w:r w:rsidRPr="000C4CA0">
        <w:rPr>
          <w:lang w:val="en-GB"/>
        </w:rPr>
        <w:t xml:space="preserve">Innovation adoption and diffusion by firms are key pillars for the EU strategy on resource-efficiency and the development of a circular economy. </w:t>
      </w:r>
    </w:p>
    <w:p w:rsidR="00472BB7" w:rsidRDefault="00472BB7" w:rsidP="00472BB7">
      <w:pPr>
        <w:spacing w:after="0" w:line="240" w:lineRule="auto"/>
        <w:rPr>
          <w:lang w:val="en-GB"/>
        </w:rPr>
      </w:pPr>
      <w:r>
        <w:rPr>
          <w:lang w:val="en-GB"/>
        </w:rPr>
        <w:t xml:space="preserve">New macroeconomic and microeconomic evidence on invention and innovation in the EU is presented, with a focus on dynamic trends and across country heterogeneity. </w:t>
      </w:r>
    </w:p>
    <w:p w:rsidR="00472BB7" w:rsidRPr="00151770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it-IT"/>
        </w:rPr>
      </w:pPr>
      <w:r>
        <w:rPr>
          <w:lang w:val="en-GB"/>
        </w:rPr>
        <w:t>In addition, new EU wide</w:t>
      </w:r>
      <w:r w:rsidRPr="000C4CA0">
        <w:rPr>
          <w:lang w:val="en-GB"/>
        </w:rPr>
        <w:t xml:space="preserve"> evidence regarding the role of environmental policy and green demand drivers to sustain the adoption of resource efficiency-oriented eco-innovations</w:t>
      </w:r>
      <w:r>
        <w:rPr>
          <w:lang w:val="en-GB"/>
        </w:rPr>
        <w:t xml:space="preserve"> is presented, as long as business case studies</w:t>
      </w:r>
      <w:r w:rsidRPr="000C4CA0">
        <w:rPr>
          <w:lang w:val="en-GB"/>
        </w:rPr>
        <w:t>.</w:t>
      </w:r>
    </w:p>
    <w:p w:rsidR="001C5EAF" w:rsidRPr="00472BB7" w:rsidRDefault="00850077">
      <w:pPr>
        <w:rPr>
          <w:lang w:val="en-IE"/>
        </w:rPr>
      </w:pPr>
      <w:bookmarkStart w:id="0" w:name="_GoBack"/>
      <w:bookmarkEnd w:id="0"/>
    </w:p>
    <w:sectPr w:rsidR="001C5EAF" w:rsidRPr="00472BB7" w:rsidSect="006B2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BB7"/>
    <w:rsid w:val="003C7536"/>
    <w:rsid w:val="00472BB7"/>
    <w:rsid w:val="006B29C6"/>
    <w:rsid w:val="00850077"/>
    <w:rsid w:val="008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2018-07-16T08:04:00Z</dcterms:created>
  <dcterms:modified xsi:type="dcterms:W3CDTF">2018-07-16T08:04:00Z</dcterms:modified>
</cp:coreProperties>
</file>