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51" w:rsidRDefault="005F5351" w:rsidP="005F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r>
        <w:rPr>
          <w:rFonts w:ascii="Courier New" w:eastAsia="Times New Roman" w:hAnsi="Courier New" w:cs="Courier New"/>
          <w:sz w:val="20"/>
          <w:szCs w:val="20"/>
          <w:lang w:val="en-US" w:eastAsia="it-IT"/>
        </w:rPr>
        <w:t>ABSTRACT INTERVENTO PIER PAOLO SARACENO</w:t>
      </w:r>
    </w:p>
    <w:p w:rsidR="005F5351" w:rsidRDefault="005F5351" w:rsidP="005F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5F5351" w:rsidRPr="005F5351" w:rsidRDefault="005F5351" w:rsidP="005F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it-IT"/>
        </w:rPr>
      </w:pPr>
      <w:r w:rsidRPr="005F5351">
        <w:rPr>
          <w:rFonts w:ascii="Courier New" w:eastAsia="Times New Roman" w:hAnsi="Courier New" w:cs="Courier New"/>
          <w:sz w:val="20"/>
          <w:szCs w:val="20"/>
          <w:lang w:val="en-US" w:eastAsia="it-IT"/>
        </w:rPr>
        <w:t xml:space="preserve">By showcasing concrete best practices and achievements in cities, I will try to bring the city's perspective in the discussion, pointing out the important role that cities authorities play in fostering the transition towards circular economy. Through the example of the urban agenda partnership on circular economy and the experienced gained in the coordination group of the European circular economy stakeholder platform, my intervention will underline the need of embracing a multi-level and multi-sectors approach.    </w:t>
      </w:r>
    </w:p>
    <w:p w:rsidR="002412BD" w:rsidRPr="005F5351" w:rsidRDefault="002412BD">
      <w:pPr>
        <w:rPr>
          <w:lang w:val="en-US"/>
        </w:rPr>
      </w:pPr>
    </w:p>
    <w:sectPr w:rsidR="002412BD" w:rsidRPr="005F5351" w:rsidSect="002412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F5351"/>
    <w:rsid w:val="002412BD"/>
    <w:rsid w:val="005F53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F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F5351"/>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7477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Company>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2018-08-30T08:59:00Z</dcterms:created>
  <dcterms:modified xsi:type="dcterms:W3CDTF">2018-08-30T08:59:00Z</dcterms:modified>
</cp:coreProperties>
</file>